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88" w:rsidRDefault="006D3588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</w:p>
    <w:p w:rsidR="006D3588" w:rsidRPr="008876C9" w:rsidRDefault="006D3588" w:rsidP="006D3588">
      <w:pPr>
        <w:pStyle w:val="a"/>
        <w:spacing w:line="240" w:lineRule="atLeast"/>
        <w:ind w:firstLine="0"/>
        <w:jc w:val="right"/>
        <w:rPr>
          <w:rFonts w:ascii="Trebuchet MS" w:hAnsi="Trebuchet MS"/>
          <w:b/>
          <w:kern w:val="28"/>
          <w:szCs w:val="24"/>
          <w:lang w:val="it-IT"/>
        </w:rPr>
      </w:pPr>
      <w:proofErr w:type="spellStart"/>
      <w:r w:rsidRPr="008876C9">
        <w:rPr>
          <w:rFonts w:ascii="Trebuchet MS" w:hAnsi="Trebuchet MS"/>
          <w:b/>
        </w:rPr>
        <w:t>Allegato</w:t>
      </w:r>
      <w:proofErr w:type="spellEnd"/>
      <w:r w:rsidRPr="008876C9">
        <w:rPr>
          <w:rFonts w:ascii="Trebuchet MS" w:hAnsi="Trebuchet MS"/>
          <w:b/>
        </w:rPr>
        <w:t xml:space="preserve"> </w:t>
      </w:r>
      <w:r w:rsidR="00F37908" w:rsidRPr="008876C9">
        <w:rPr>
          <w:rFonts w:ascii="Trebuchet MS" w:hAnsi="Trebuchet MS"/>
          <w:b/>
        </w:rPr>
        <w:t>B</w:t>
      </w:r>
    </w:p>
    <w:p w:rsidR="006D3588" w:rsidRDefault="006D3588" w:rsidP="00304A35">
      <w:pPr>
        <w:pStyle w:val="a"/>
        <w:spacing w:line="240" w:lineRule="atLeast"/>
        <w:ind w:firstLine="0"/>
        <w:rPr>
          <w:rFonts w:ascii="Trebuchet MS" w:hAnsi="Trebuchet MS"/>
          <w:kern w:val="28"/>
          <w:szCs w:val="24"/>
          <w:lang w:val="it-IT"/>
        </w:rPr>
      </w:pPr>
      <w:bookmarkStart w:id="0" w:name="_GoBack"/>
      <w:bookmarkEnd w:id="0"/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Il sottoscritto ___________________________________________________________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nato a__________________________________________________________________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in qualità di (carica sociale) _______________________________________________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della ___________________________________________________________________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con sede legale in _____________________ via _______________________________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codice fiscale__________________________ Partita IVA 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telefono_______________________________ e-mail </w:t>
      </w:r>
      <w:r w:rsidR="005D51A4">
        <w:rPr>
          <w:rFonts w:ascii="Trebuchet MS" w:hAnsi="Trebuchet MS"/>
          <w:kern w:val="28"/>
          <w:sz w:val="24"/>
          <w:szCs w:val="24"/>
          <w:lang w:val="it-IT" w:eastAsia="it-IT" w:bidi="ar-SA"/>
        </w:rPr>
        <w:t>_</w:t>
      </w: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__________________________</w:t>
      </w:r>
    </w:p>
    <w:p w:rsidR="001973C6" w:rsidRPr="001973C6" w:rsidRDefault="001973C6" w:rsidP="00736429">
      <w:pPr>
        <w:spacing w:after="0" w:line="360" w:lineRule="auto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posta cer</w:t>
      </w:r>
      <w:r w:rsidR="005D51A4">
        <w:rPr>
          <w:rFonts w:ascii="Trebuchet MS" w:hAnsi="Trebuchet MS"/>
          <w:kern w:val="28"/>
          <w:sz w:val="24"/>
          <w:szCs w:val="24"/>
          <w:lang w:val="it-IT" w:eastAsia="it-IT" w:bidi="ar-SA"/>
        </w:rPr>
        <w:t>t</w:t>
      </w: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ificata</w:t>
      </w:r>
      <w:r w:rsidR="00AE34D6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 (PEC) </w:t>
      </w: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____________________________________________________</w:t>
      </w:r>
    </w:p>
    <w:p w:rsidR="00F37908" w:rsidRDefault="001973C6" w:rsidP="00F37908">
      <w:pPr>
        <w:spacing w:before="100" w:beforeAutospacing="1" w:after="100" w:afterAutospacing="1" w:line="240" w:lineRule="atLeast"/>
        <w:jc w:val="center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1973C6">
        <w:rPr>
          <w:rFonts w:ascii="Trebuchet MS" w:hAnsi="Trebuchet MS"/>
          <w:kern w:val="28"/>
          <w:sz w:val="24"/>
          <w:szCs w:val="24"/>
          <w:lang w:val="it-IT" w:eastAsia="it-IT" w:bidi="ar-SA"/>
        </w:rPr>
        <w:t>DICHIARA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che nei propri confronti, negli ultimi cinque anni, non sono stati estesi gli effetti delle misure di prevenzione della sorveglianza di cui all’art. 3 della Legge n. 1423 del 27/12/1956 irrogate nei confronti di un proprio convivente, o di una delle cause ostative previste dall’art. 10 della L. 575 del 31/05/1965;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b) l’inesistenza nei propri confronti delle situazioni di cui al comma 1 art. 80 D. </w:t>
      </w:r>
      <w:proofErr w:type="spellStart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lgs</w:t>
      </w:r>
      <w:proofErr w:type="spellEnd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. 50/2016;</w:t>
      </w:r>
    </w:p>
    <w:p w:rsidR="00F37908" w:rsidRDefault="00F37908" w:rsidP="00F37908">
      <w:pPr>
        <w:spacing w:before="100" w:beforeAutospacing="1" w:after="100" w:afterAutospacing="1" w:line="240" w:lineRule="atLeast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c) che ai sensi dell’art. 80 comma 5 lettera l) del </w:t>
      </w:r>
      <w:proofErr w:type="spellStart"/>
      <w:proofErr w:type="gramStart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D.Lgs</w:t>
      </w:r>
      <w:proofErr w:type="gramEnd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.</w:t>
      </w:r>
      <w:proofErr w:type="spellEnd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 n. 50/2016</w:t>
      </w: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>: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center"/>
        <w:rPr>
          <w:rFonts w:ascii="Trebuchet MS" w:hAnsi="Trebuchet MS"/>
          <w:b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b/>
          <w:kern w:val="28"/>
          <w:sz w:val="24"/>
          <w:szCs w:val="24"/>
          <w:lang w:val="it-IT" w:eastAsia="it-IT" w:bidi="ar-SA"/>
        </w:rPr>
        <w:t>(scegliere e barrare con una X</w:t>
      </w:r>
      <w:r>
        <w:rPr>
          <w:rFonts w:ascii="Trebuchet MS" w:hAnsi="Trebuchet MS"/>
          <w:b/>
          <w:kern w:val="28"/>
          <w:sz w:val="24"/>
          <w:szCs w:val="24"/>
          <w:lang w:val="it-IT" w:eastAsia="it-IT" w:bidi="ar-SA"/>
        </w:rPr>
        <w:t xml:space="preserve"> la voce di propria competenza)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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  <w:t xml:space="preserve">di non essere stato vittima dei reati previsti e puniti dagli art. 317 e 629 del codice penale aggravati ai sensi dell’art. 7 del </w:t>
      </w:r>
      <w:proofErr w:type="spellStart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d.l.</w:t>
      </w:r>
      <w:proofErr w:type="spellEnd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 13 maggio 1991, n. 152, convertito con modificazioni dalla legge 12 luglio 1991, n. 203, ovvero: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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  <w:t xml:space="preserve">di essere </w:t>
      </w:r>
      <w:proofErr w:type="gramStart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stato  vittima</w:t>
      </w:r>
      <w:proofErr w:type="gramEnd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 dei reati previsti e puniti dagli art. 317 e 629 del codice penale aggravati ai sensi dell’art. 7 del </w:t>
      </w:r>
      <w:proofErr w:type="spellStart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d.l.</w:t>
      </w:r>
      <w:proofErr w:type="spellEnd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 13 maggio 1991, n. 152, convertito con modificazioni dalla legge 12 luglio 1991, n. 203, e aver denunciato i fatti all’autorità giudiziaria;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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  <w:t xml:space="preserve">di essere stato vittima dei reati previsti e puniti dagli art. 317 e 629 del codice penale aggravati ai sensi dell’art. 7 del </w:t>
      </w:r>
      <w:proofErr w:type="spellStart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d.l.</w:t>
      </w:r>
      <w:proofErr w:type="spellEnd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 13 maggio 1991, n. 152, convertito con modificazioni dalla legge 12 luglio 1991, n. 203, e non aver denunciato i fatti all’autorità giudiziaria, ricorrendo i casi previsti dall’art. 4, primo comma, della legge 24 novembre 1981, n. 689;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lastRenderedPageBreak/>
        <w:t>d) sotto la propria personale responsabilità e visto l’art. 76 del citato D.P.R. 445/2000: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1) che nei propri confronti non è stata pronunciata sentenza definitiva o emesso decreto penale di condanna divenuto irrevocabile, oppure sentenza di applicazione della pena su richiesta, ai sensi dell’articolo 444 del C.P.P., per uno dei seguenti reati: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• 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delitti, consumati o tentati, di cui agli  articoli 416, 416-bis del codice penale ovvero delitti commessi avvalendosi delle condizioni previste dal predetto 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 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• 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delitti, consumati o tentati, di cui </w:t>
      </w:r>
      <w:proofErr w:type="gramStart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agli  articoli</w:t>
      </w:r>
      <w:proofErr w:type="gramEnd"/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 317, 318, 319, 319-ter, 319-quater, 320, 321, 322, 322-bis,  346-bis, 353, 353-bis, 354, 355 e 356 del codice penale nonché all’articolo 2635 del codice civile; 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• 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frode ai sensi dell'articolo 1 della convenzione relativa alla tutela degli interessi finanziari delle Comunità europee; 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• 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• 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• 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sfruttamento del lavoro minorile e altre forme di tratta di esseri umani definite con il decreto legislativo 4 marzo 2014, n. 24; 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>
        <w:rPr>
          <w:rFonts w:ascii="Trebuchet MS" w:hAnsi="Trebuchet MS"/>
          <w:kern w:val="28"/>
          <w:sz w:val="24"/>
          <w:szCs w:val="24"/>
          <w:lang w:val="it-IT" w:eastAsia="it-IT" w:bidi="ar-SA"/>
        </w:rPr>
        <w:t xml:space="preserve">• 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ogni altro delitto da cui derivi, quale pena accessoria, l'incapacità di contrattare con la pubblica amministrazione;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2) di avere subito una delle condanne di cui sopra ma: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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  <w:t xml:space="preserve">il reato è stato depenalizzato 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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  <w:t>è intervenuta la riabilitazione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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  <w:t>il reato è stato dichiarato estinto dopo la condanna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</w:t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  <w:t>la condanna è stata revocata;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3) che non sussistono cause di decadenza, di sospensione o di divieto previste dall'articolo 67 del decreto legislativo 6 settembre 2011, n. 159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antimafia;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Si allega fotocopia non autenticata del documento di identità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>Data________________________________</w:t>
      </w:r>
    </w:p>
    <w:p w:rsidR="00F37908" w:rsidRP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</w:p>
    <w:p w:rsidR="00F37908" w:rsidRDefault="00F37908" w:rsidP="00F37908">
      <w:pPr>
        <w:spacing w:before="100" w:beforeAutospacing="1" w:after="100" w:afterAutospacing="1" w:line="240" w:lineRule="atLeast"/>
        <w:jc w:val="both"/>
        <w:rPr>
          <w:rFonts w:ascii="Trebuchet MS" w:hAnsi="Trebuchet MS"/>
          <w:kern w:val="28"/>
          <w:sz w:val="24"/>
          <w:szCs w:val="24"/>
          <w:lang w:val="it-IT" w:eastAsia="it-IT" w:bidi="ar-SA"/>
        </w:rPr>
      </w:pP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</w:r>
      <w:r w:rsidRPr="00F37908">
        <w:rPr>
          <w:rFonts w:ascii="Trebuchet MS" w:hAnsi="Trebuchet MS"/>
          <w:kern w:val="28"/>
          <w:sz w:val="24"/>
          <w:szCs w:val="24"/>
          <w:lang w:val="it-IT" w:eastAsia="it-IT" w:bidi="ar-SA"/>
        </w:rPr>
        <w:tab/>
        <w:t>Firma del dichiarante</w:t>
      </w:r>
    </w:p>
    <w:sectPr w:rsidR="00F37908" w:rsidSect="006D3588">
      <w:headerReference w:type="default" r:id="rId7"/>
      <w:footerReference w:type="default" r:id="rId8"/>
      <w:pgSz w:w="11906" w:h="16838"/>
      <w:pgMar w:top="737" w:right="1418" w:bottom="1134" w:left="1418" w:header="153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377" w:rsidRDefault="004A5377" w:rsidP="00304A35">
      <w:pPr>
        <w:spacing w:after="0" w:line="240" w:lineRule="auto"/>
      </w:pPr>
      <w:r>
        <w:separator/>
      </w:r>
    </w:p>
  </w:endnote>
  <w:endnote w:type="continuationSeparator" w:id="0">
    <w:p w:rsidR="004A5377" w:rsidRDefault="004A5377" w:rsidP="0030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2E" w:rsidRDefault="008876C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377" w:rsidRDefault="004A5377" w:rsidP="00304A35">
      <w:pPr>
        <w:spacing w:after="0" w:line="240" w:lineRule="auto"/>
      </w:pPr>
      <w:r>
        <w:separator/>
      </w:r>
    </w:p>
  </w:footnote>
  <w:footnote w:type="continuationSeparator" w:id="0">
    <w:p w:rsidR="004A5377" w:rsidRDefault="004A5377" w:rsidP="0030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2E" w:rsidRDefault="00304A35" w:rsidP="006D3588">
    <w:pPr>
      <w:jc w:val="center"/>
      <w:rPr>
        <w:rFonts w:ascii="Trebuchet MS" w:hAnsi="Trebuchet MS"/>
      </w:rPr>
    </w:pPr>
    <w:r>
      <w:rPr>
        <w:noProof/>
        <w:lang w:val="it-IT" w:eastAsia="it-IT" w:bidi="ar-SA"/>
      </w:rPr>
      <w:drawing>
        <wp:inline distT="0" distB="0" distL="0" distR="0" wp14:anchorId="5038D60A" wp14:editId="2F782C61">
          <wp:extent cx="1975449" cy="793159"/>
          <wp:effectExtent l="0" t="0" r="6350" b="6985"/>
          <wp:docPr id="2" name="Immagine 2" descr="C:\Users\utente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351" cy="79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C90"/>
    <w:multiLevelType w:val="hybridMultilevel"/>
    <w:tmpl w:val="509CCC7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82D0EE9"/>
    <w:multiLevelType w:val="hybridMultilevel"/>
    <w:tmpl w:val="8B3C1EB4"/>
    <w:lvl w:ilvl="0" w:tplc="B600A1F8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C95983"/>
    <w:multiLevelType w:val="hybridMultilevel"/>
    <w:tmpl w:val="80361562"/>
    <w:lvl w:ilvl="0" w:tplc="51D6CD7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F5E64"/>
    <w:multiLevelType w:val="hybridMultilevel"/>
    <w:tmpl w:val="6502759C"/>
    <w:lvl w:ilvl="0" w:tplc="18587088">
      <w:numFmt w:val="bullet"/>
      <w:lvlText w:val=""/>
      <w:lvlJc w:val="left"/>
      <w:pPr>
        <w:ind w:left="84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0344EB9"/>
    <w:multiLevelType w:val="hybridMultilevel"/>
    <w:tmpl w:val="18D28994"/>
    <w:lvl w:ilvl="0" w:tplc="22963F2A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  <w:sz w:val="21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35"/>
    <w:rsid w:val="0008244F"/>
    <w:rsid w:val="001973C6"/>
    <w:rsid w:val="001E4F36"/>
    <w:rsid w:val="002A140B"/>
    <w:rsid w:val="002A1E3A"/>
    <w:rsid w:val="00304A35"/>
    <w:rsid w:val="004A5377"/>
    <w:rsid w:val="005D51A4"/>
    <w:rsid w:val="006D3588"/>
    <w:rsid w:val="00736429"/>
    <w:rsid w:val="007533A0"/>
    <w:rsid w:val="008876C9"/>
    <w:rsid w:val="009A00EE"/>
    <w:rsid w:val="00AE34D6"/>
    <w:rsid w:val="00BA37CA"/>
    <w:rsid w:val="00CF302C"/>
    <w:rsid w:val="00E8389C"/>
    <w:rsid w:val="00F37908"/>
    <w:rsid w:val="00F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F0B79-3236-4EAA-B09D-C492FE61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A35"/>
    <w:rPr>
      <w:rFonts w:ascii="Cambria" w:eastAsia="Times New Roman" w:hAnsi="Cambria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rsid w:val="00304A35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eastAsiaTheme="minorHAnsi" w:hAnsi="Tahoma" w:cstheme="minorBidi"/>
      <w:sz w:val="24"/>
    </w:rPr>
  </w:style>
  <w:style w:type="paragraph" w:styleId="Pidipagina">
    <w:name w:val="footer"/>
    <w:basedOn w:val="Normale"/>
    <w:link w:val="PidipaginaCarattere"/>
    <w:rsid w:val="00304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04A35"/>
    <w:rPr>
      <w:rFonts w:ascii="Cambria" w:eastAsia="Times New Roman" w:hAnsi="Cambria" w:cs="Times New Roman"/>
      <w:lang w:val="en-US" w:bidi="en-US"/>
    </w:rPr>
  </w:style>
  <w:style w:type="character" w:customStyle="1" w:styleId="CorpodeltestoCarattere">
    <w:name w:val="Corpo del testo Carattere"/>
    <w:link w:val="a"/>
    <w:rsid w:val="00304A35"/>
    <w:rPr>
      <w:rFonts w:ascii="Tahoma" w:hAnsi="Tahoma"/>
      <w:sz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A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A35"/>
    <w:rPr>
      <w:rFonts w:ascii="Cambria" w:eastAsia="Times New Roman" w:hAnsi="Cambria" w:cs="Times New Roman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A35"/>
    <w:rPr>
      <w:rFonts w:ascii="Tahoma" w:eastAsia="Times New Roman" w:hAnsi="Tahoma" w:cs="Tahoma"/>
      <w:sz w:val="16"/>
      <w:szCs w:val="16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304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A35"/>
    <w:rPr>
      <w:rFonts w:ascii="Cambria" w:eastAsia="Times New Roman" w:hAnsi="Cambria" w:cs="Times New Roman"/>
      <w:lang w:val="en-US" w:bidi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973C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973C6"/>
    <w:rPr>
      <w:rFonts w:ascii="Cambria" w:eastAsia="Times New Roman" w:hAnsi="Cambria" w:cs="Times New Roman"/>
      <w:lang w:val="en-US" w:bidi="en-US"/>
    </w:rPr>
  </w:style>
  <w:style w:type="paragraph" w:styleId="Paragrafoelenco">
    <w:name w:val="List Paragraph"/>
    <w:basedOn w:val="Normale"/>
    <w:uiPriority w:val="34"/>
    <w:qFormat/>
    <w:rsid w:val="00AE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Russo</cp:lastModifiedBy>
  <cp:revision>9</cp:revision>
  <cp:lastPrinted>2021-08-11T10:45:00Z</cp:lastPrinted>
  <dcterms:created xsi:type="dcterms:W3CDTF">2021-08-11T10:10:00Z</dcterms:created>
  <dcterms:modified xsi:type="dcterms:W3CDTF">2021-09-02T06:23:00Z</dcterms:modified>
</cp:coreProperties>
</file>